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702EB6">
        <w:rPr>
          <w:rStyle w:val="a7"/>
          <w:b w:val="0"/>
          <w:i w:val="0"/>
          <w:sz w:val="16"/>
          <w:szCs w:val="16"/>
        </w:rPr>
        <w:t xml:space="preserve">                              2</w:t>
      </w:r>
      <w:r w:rsidR="00622885">
        <w:rPr>
          <w:rStyle w:val="a7"/>
          <w:b w:val="0"/>
          <w:i w:val="0"/>
          <w:sz w:val="16"/>
          <w:szCs w:val="16"/>
        </w:rPr>
        <w:t>1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622885">
        <w:rPr>
          <w:rStyle w:val="a7"/>
          <w:b w:val="0"/>
          <w:i w:val="0"/>
          <w:sz w:val="16"/>
          <w:szCs w:val="16"/>
        </w:rPr>
        <w:t>8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Default="00962278" w:rsidP="00962278">
      <w:pPr>
        <w:ind w:firstLine="708"/>
        <w:jc w:val="both"/>
      </w:pPr>
    </w:p>
    <w:p w:rsidR="00622885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2885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2885" w:rsidRPr="00622885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22885">
        <w:rPr>
          <w:rFonts w:ascii="Times New Roman" w:hAnsi="Times New Roman"/>
          <w:sz w:val="28"/>
          <w:szCs w:val="28"/>
        </w:rPr>
        <w:t xml:space="preserve">Постановка на учет </w:t>
      </w:r>
      <w:proofErr w:type="spellStart"/>
      <w:r w:rsidRPr="0062288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622885">
        <w:rPr>
          <w:rFonts w:ascii="Times New Roman" w:hAnsi="Times New Roman"/>
          <w:sz w:val="28"/>
          <w:szCs w:val="28"/>
        </w:rPr>
        <w:t xml:space="preserve"> лиц</w:t>
      </w:r>
    </w:p>
    <w:p w:rsidR="00622885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2885" w:rsidRPr="00C93BE9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3BE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Налоговый кодекс </w:t>
      </w:r>
      <w:bookmarkStart w:id="0" w:name="_GoBack"/>
      <w:bookmarkEnd w:id="0"/>
      <w:r w:rsidRPr="00C93BE9">
        <w:rPr>
          <w:rFonts w:ascii="Times New Roman" w:hAnsi="Times New Roman"/>
          <w:sz w:val="24"/>
          <w:szCs w:val="24"/>
        </w:rPr>
        <w:t xml:space="preserve">РФ включен ряд положений </w:t>
      </w:r>
      <w:r w:rsidRPr="00993D6D">
        <w:rPr>
          <w:rFonts w:ascii="Times New Roman" w:hAnsi="Times New Roman"/>
          <w:b/>
          <w:bCs/>
          <w:sz w:val="24"/>
          <w:szCs w:val="24"/>
        </w:rPr>
        <w:t xml:space="preserve">о постановке на налоговый учет в налоговых органах </w:t>
      </w:r>
      <w:proofErr w:type="spellStart"/>
      <w:r w:rsidRPr="00993D6D">
        <w:rPr>
          <w:rFonts w:ascii="Times New Roman" w:hAnsi="Times New Roman"/>
          <w:b/>
          <w:bCs/>
          <w:sz w:val="24"/>
          <w:szCs w:val="24"/>
        </w:rPr>
        <w:t>самозанятых</w:t>
      </w:r>
      <w:proofErr w:type="spellEnd"/>
      <w:r w:rsidRPr="00993D6D">
        <w:rPr>
          <w:rFonts w:ascii="Times New Roman" w:hAnsi="Times New Roman"/>
          <w:b/>
          <w:bCs/>
          <w:sz w:val="24"/>
          <w:szCs w:val="24"/>
        </w:rPr>
        <w:t xml:space="preserve"> физлиц</w:t>
      </w:r>
      <w:r w:rsidRPr="00C93B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3BE9">
        <w:rPr>
          <w:rFonts w:ascii="Times New Roman" w:hAnsi="Times New Roman"/>
          <w:sz w:val="24"/>
          <w:szCs w:val="24"/>
        </w:rPr>
        <w:t xml:space="preserve">Так, постановка на учет (снятие с учета) физического лица (за исключением лиц, указанных в </w:t>
      </w:r>
      <w:hyperlink r:id="rId6" w:history="1">
        <w:r w:rsidRPr="00993D6D">
          <w:rPr>
            <w:rFonts w:ascii="Times New Roman" w:hAnsi="Times New Roman"/>
            <w:sz w:val="24"/>
            <w:szCs w:val="24"/>
          </w:rPr>
          <w:t>ст. 227.1</w:t>
        </w:r>
      </w:hyperlink>
      <w:r w:rsidRPr="00C93BE9">
        <w:rPr>
          <w:rFonts w:ascii="Times New Roman" w:hAnsi="Times New Roman"/>
          <w:sz w:val="24"/>
          <w:szCs w:val="24"/>
        </w:rPr>
        <w:t xml:space="preserve"> НК РФ), не являющегося индивидуальным предпринимателем и оказывающего без привлечения наемных работников услуги физическому лицу для личных, домашних и (или) иных подобных нужд, в указанном качестве </w:t>
      </w:r>
      <w:hyperlink r:id="rId7" w:history="1">
        <w:r w:rsidRPr="00993D6D">
          <w:rPr>
            <w:rFonts w:ascii="Times New Roman" w:hAnsi="Times New Roman"/>
            <w:sz w:val="24"/>
            <w:szCs w:val="24"/>
          </w:rPr>
          <w:t>осуществляется</w:t>
        </w:r>
      </w:hyperlink>
      <w:r w:rsidRPr="00C93BE9">
        <w:rPr>
          <w:rFonts w:ascii="Times New Roman" w:hAnsi="Times New Roman"/>
          <w:sz w:val="24"/>
          <w:szCs w:val="24"/>
        </w:rPr>
        <w:t xml:space="preserve"> налоговым органом по месту жительства (месту пребывания - при отсутствии у физического лица места жительства на территории РФ</w:t>
      </w:r>
      <w:proofErr w:type="gramEnd"/>
      <w:r w:rsidRPr="00C93BE9">
        <w:rPr>
          <w:rFonts w:ascii="Times New Roman" w:hAnsi="Times New Roman"/>
          <w:sz w:val="24"/>
          <w:szCs w:val="24"/>
        </w:rPr>
        <w:t xml:space="preserve">) этого физического лица на основании представляемого им в любой налоговый орган по своему выбору уведомления об осуществлении (о прекращении) такой деятельности. Уведомление о постановке на учет (снятии с учета) в налоговом органе в этом случае </w:t>
      </w:r>
      <w:hyperlink r:id="rId8" w:history="1">
        <w:r w:rsidRPr="00993D6D">
          <w:rPr>
            <w:rFonts w:ascii="Times New Roman" w:hAnsi="Times New Roman"/>
            <w:sz w:val="24"/>
            <w:szCs w:val="24"/>
          </w:rPr>
          <w:t>не выдается</w:t>
        </w:r>
      </w:hyperlink>
      <w:r w:rsidRPr="00C93BE9">
        <w:rPr>
          <w:rFonts w:ascii="Times New Roman" w:hAnsi="Times New Roman"/>
          <w:sz w:val="24"/>
          <w:szCs w:val="24"/>
        </w:rPr>
        <w:t xml:space="preserve"> (не направляется).</w:t>
      </w:r>
    </w:p>
    <w:p w:rsidR="00622885" w:rsidRPr="00993D6D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3BE9">
        <w:rPr>
          <w:rFonts w:ascii="Times New Roman" w:hAnsi="Times New Roman"/>
          <w:sz w:val="24"/>
          <w:szCs w:val="24"/>
        </w:rPr>
        <w:t xml:space="preserve">Доходы, полученные физическими лицами, не являющимися ИП, от физических лиц за оказание им для личных, домашних и (или) иных подобных нужд услуг, </w:t>
      </w:r>
      <w:hyperlink r:id="rId9" w:history="1">
        <w:r w:rsidRPr="00993D6D">
          <w:rPr>
            <w:rFonts w:ascii="Times New Roman" w:hAnsi="Times New Roman"/>
            <w:sz w:val="24"/>
            <w:szCs w:val="24"/>
          </w:rPr>
          <w:t>освобождаются</w:t>
        </w:r>
      </w:hyperlink>
      <w:r w:rsidRPr="00C93BE9">
        <w:rPr>
          <w:rFonts w:ascii="Times New Roman" w:hAnsi="Times New Roman"/>
          <w:sz w:val="24"/>
          <w:szCs w:val="24"/>
        </w:rPr>
        <w:t xml:space="preserve"> от НДФЛ. Приведен и перечень услуг (например, по репетиторству, по ведению домашнего хозяйства). При этом законом субъекта РФ могут быть установлены также иные виды "личных" услуг, </w:t>
      </w:r>
      <w:proofErr w:type="gramStart"/>
      <w:r w:rsidRPr="00C93BE9">
        <w:rPr>
          <w:rFonts w:ascii="Times New Roman" w:hAnsi="Times New Roman"/>
          <w:sz w:val="24"/>
          <w:szCs w:val="24"/>
        </w:rPr>
        <w:t>доходы</w:t>
      </w:r>
      <w:proofErr w:type="gramEnd"/>
      <w:r w:rsidRPr="00C93BE9">
        <w:rPr>
          <w:rFonts w:ascii="Times New Roman" w:hAnsi="Times New Roman"/>
          <w:sz w:val="24"/>
          <w:szCs w:val="24"/>
        </w:rPr>
        <w:t xml:space="preserve"> от оказания которых освобождаются от НДФЛ. Норма действует с 1 января 2017 года и применяется в отношении доходов в виде выплат (вознаграждений), полученных в налоговых периодах 2017 и 2018 </w:t>
      </w:r>
      <w:r w:rsidRPr="00993D6D">
        <w:rPr>
          <w:rFonts w:ascii="Times New Roman" w:hAnsi="Times New Roman"/>
          <w:sz w:val="24"/>
          <w:szCs w:val="24"/>
        </w:rPr>
        <w:t>.</w:t>
      </w:r>
    </w:p>
    <w:p w:rsidR="00F517B1" w:rsidRDefault="00F517B1" w:rsidP="00F517B1">
      <w:pPr>
        <w:ind w:firstLine="708"/>
        <w:jc w:val="both"/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22885"/>
    <w:rsid w:val="006578F8"/>
    <w:rsid w:val="006D7CD1"/>
    <w:rsid w:val="00702EB6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51638.8402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451638.83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227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451638.21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Седина Татьяна Викторовна</cp:lastModifiedBy>
  <cp:revision>2</cp:revision>
  <cp:lastPrinted>2017-07-24T11:12:00Z</cp:lastPrinted>
  <dcterms:created xsi:type="dcterms:W3CDTF">2017-08-21T06:09:00Z</dcterms:created>
  <dcterms:modified xsi:type="dcterms:W3CDTF">2017-08-21T06:09:00Z</dcterms:modified>
</cp:coreProperties>
</file>